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BD83" w14:textId="77777777" w:rsidR="00062C35" w:rsidRPr="002538A8" w:rsidRDefault="00062C35" w:rsidP="00062C35">
      <w:pPr>
        <w:pStyle w:val="Virsraksts1"/>
        <w:rPr>
          <w:lang w:val="lv-LV"/>
        </w:rPr>
      </w:pPr>
      <w:r w:rsidRPr="002538A8">
        <w:rPr>
          <w:lang w:val="lv-LV"/>
        </w:rPr>
        <w:t>Rainis Kastaņolā 1911. gada 11. oktobrī</w:t>
      </w:r>
    </w:p>
    <w:p w14:paraId="048C28B4" w14:textId="77777777" w:rsidR="00062C35" w:rsidRDefault="00062C35" w:rsidP="00062C35">
      <w:pPr>
        <w:rPr>
          <w:bCs/>
          <w:lang w:val="lv-LV"/>
        </w:rPr>
      </w:pPr>
      <w:r w:rsidRPr="004D1F9B">
        <w:rPr>
          <w:bCs/>
          <w:lang w:val="lv-LV"/>
        </w:rPr>
        <w:t>Mīļo zelta iniņ, šorīt aizgāja priekš Tevis Lugānas albums</w:t>
      </w:r>
      <w:r w:rsidRPr="002538A8">
        <w:rPr>
          <w:bCs/>
          <w:vertAlign w:val="superscript"/>
          <w:lang w:val="lv-LV"/>
        </w:rPr>
        <w:t>1</w:t>
      </w:r>
      <w:r w:rsidRPr="004D1F9B">
        <w:rPr>
          <w:bCs/>
          <w:lang w:val="lv-LV"/>
        </w:rPr>
        <w:t xml:space="preserve"> un iekšā </w:t>
      </w:r>
      <w:r w:rsidRPr="004D1F9B">
        <w:rPr>
          <w:bCs/>
          <w:u w:val="single"/>
          <w:lang w:val="lv-LV"/>
        </w:rPr>
        <w:t>beigas</w:t>
      </w:r>
      <w:r w:rsidRPr="004D1F9B">
        <w:rPr>
          <w:bCs/>
          <w:lang w:val="lv-LV"/>
        </w:rPr>
        <w:t xml:space="preserve"> no I cēliena. To nodod tūliņ Ivanovam.</w:t>
      </w:r>
      <w:r w:rsidRPr="002538A8">
        <w:rPr>
          <w:bCs/>
          <w:vertAlign w:val="superscript"/>
          <w:lang w:val="lv-LV"/>
        </w:rPr>
        <w:t>2</w:t>
      </w:r>
      <w:r w:rsidRPr="004D1F9B">
        <w:rPr>
          <w:bCs/>
          <w:lang w:val="lv-LV"/>
        </w:rPr>
        <w:t xml:space="preserve"> Tad vēl saimniece nosūtīja Tev rozes.</w:t>
      </w:r>
      <w:r w:rsidRPr="002538A8">
        <w:rPr>
          <w:bCs/>
          <w:vertAlign w:val="superscript"/>
          <w:lang w:val="lv-LV"/>
        </w:rPr>
        <w:t>3</w:t>
      </w:r>
      <w:r w:rsidRPr="004D1F9B">
        <w:rPr>
          <w:bCs/>
          <w:lang w:val="lv-LV"/>
        </w:rPr>
        <w:t xml:space="preserve"> Varbūt tās Tev palīdzēs darbā. Vai palmu</w:t>
      </w:r>
      <w:r w:rsidRPr="002538A8">
        <w:rPr>
          <w:bCs/>
          <w:vertAlign w:val="superscript"/>
          <w:lang w:val="lv-LV"/>
        </w:rPr>
        <w:t>4</w:t>
      </w:r>
      <w:r w:rsidRPr="004D1F9B">
        <w:rPr>
          <w:bCs/>
          <w:lang w:val="lv-LV"/>
        </w:rPr>
        <w:t xml:space="preserve"> Tu arī gribi? Vai būs kur likt? Ja kāds uzņemas to pakāšanu un sūtīšanu, tad labi, citādi viņai vēl jāpagaida.</w:t>
      </w:r>
      <w:r>
        <w:rPr>
          <w:bCs/>
          <w:lang w:val="lv-LV"/>
        </w:rPr>
        <w:t xml:space="preserve"> — </w:t>
      </w:r>
      <w:r w:rsidRPr="004D1F9B">
        <w:rPr>
          <w:bCs/>
          <w:lang w:val="lv-LV"/>
        </w:rPr>
        <w:t>Lilija nupat man ar atrakstīja izrunāšanos,</w:t>
      </w:r>
      <w:r>
        <w:rPr>
          <w:bCs/>
          <w:lang w:val="lv-LV"/>
        </w:rPr>
        <w:t xml:space="preserve"> — </w:t>
      </w:r>
      <w:r w:rsidRPr="004D1F9B">
        <w:rPr>
          <w:bCs/>
          <w:lang w:val="lv-LV"/>
        </w:rPr>
        <w:t>lai braucot uz Romu, Signorelli uzņemšot.</w:t>
      </w:r>
      <w:r w:rsidRPr="002538A8">
        <w:rPr>
          <w:bCs/>
          <w:vertAlign w:val="superscript"/>
          <w:lang w:val="lv-LV"/>
        </w:rPr>
        <w:t>5</w:t>
      </w:r>
      <w:r>
        <w:rPr>
          <w:bCs/>
          <w:lang w:val="lv-LV"/>
        </w:rPr>
        <w:t xml:space="preserve"> — </w:t>
      </w:r>
      <w:r w:rsidRPr="004D1F9B">
        <w:rPr>
          <w:bCs/>
          <w:lang w:val="lv-LV"/>
        </w:rPr>
        <w:t>Par manu veselību negribu nekā vairs dzirdēt. Nu viņi</w:t>
      </w:r>
      <w:r w:rsidRPr="002538A8">
        <w:rPr>
          <w:bCs/>
          <w:vertAlign w:val="superscript"/>
          <w:lang w:val="lv-LV"/>
        </w:rPr>
        <w:t>6</w:t>
      </w:r>
      <w:r w:rsidRPr="004D1F9B">
        <w:rPr>
          <w:bCs/>
          <w:lang w:val="lv-LV"/>
        </w:rPr>
        <w:t xml:space="preserve"> ies stāstīdami par maniem defektiem</w:t>
      </w:r>
      <w:r w:rsidRPr="002538A8">
        <w:rPr>
          <w:bCs/>
          <w:vertAlign w:val="superscript"/>
          <w:lang w:val="lv-LV"/>
        </w:rPr>
        <w:t>7</w:t>
      </w:r>
      <w:r w:rsidRPr="004D1F9B">
        <w:rPr>
          <w:bCs/>
          <w:color w:val="FF0000"/>
          <w:lang w:val="lv-LV"/>
        </w:rPr>
        <w:t xml:space="preserve"> </w:t>
      </w:r>
      <w:r w:rsidRPr="004D1F9B">
        <w:rPr>
          <w:bCs/>
          <w:lang w:val="lv-LV"/>
        </w:rPr>
        <w:t>nerviem, un labāk ņemu savus nekā viņu veselos. Vienīgi prātīgais cilvēks</w:t>
      </w:r>
      <w:r>
        <w:rPr>
          <w:bCs/>
          <w:lang w:val="lv-LV"/>
        </w:rPr>
        <w:t xml:space="preserve"> — </w:t>
      </w:r>
      <w:r w:rsidRPr="004D1F9B">
        <w:rPr>
          <w:bCs/>
          <w:lang w:val="lv-LV"/>
        </w:rPr>
        <w:t>Farbšteiniete</w:t>
      </w:r>
      <w:r>
        <w:rPr>
          <w:bCs/>
          <w:lang w:val="lv-LV"/>
        </w:rPr>
        <w:t>,</w:t>
      </w:r>
      <w:r w:rsidRPr="004D1F9B">
        <w:rPr>
          <w:bCs/>
          <w:lang w:val="lv-LV"/>
        </w:rPr>
        <w:t xml:space="preserve"> ka ļauj man palikt, kur es gribu;</w:t>
      </w:r>
      <w:r w:rsidRPr="002538A8">
        <w:rPr>
          <w:bCs/>
          <w:vertAlign w:val="superscript"/>
          <w:lang w:val="lv-LV"/>
        </w:rPr>
        <w:t>8</w:t>
      </w:r>
      <w:r w:rsidRPr="004D1F9B">
        <w:rPr>
          <w:bCs/>
          <w:lang w:val="lv-LV"/>
        </w:rPr>
        <w:t xml:space="preserve"> gaiss skarbāks var būt arī labāks, bet lai mana daba pati par to spriež; un par ēšanu lai spriež māga. Es pats sevi ārstēju 20 g[adus] un ārstēšu vēl </w:t>
      </w:r>
      <w:r w:rsidRPr="001C6240">
        <w:rPr>
          <w:bCs/>
          <w:lang w:val="lv-LV"/>
        </w:rPr>
        <w:t>10 reiz</w:t>
      </w:r>
      <w:r w:rsidRPr="004D1F9B">
        <w:rPr>
          <w:bCs/>
          <w:lang w:val="lv-LV"/>
        </w:rPr>
        <w:t xml:space="preserve"> tik ilgi. Farbš[teina] ir dakters, kad ļauj brīvību.</w:t>
      </w:r>
      <w:r>
        <w:rPr>
          <w:bCs/>
          <w:lang w:val="lv-LV"/>
        </w:rPr>
        <w:t xml:space="preserve"> — </w:t>
      </w:r>
      <w:r w:rsidRPr="004D1F9B">
        <w:rPr>
          <w:bCs/>
          <w:lang w:val="lv-LV"/>
        </w:rPr>
        <w:t>Nu reiz pietiks par ēšanām uz visām reizēm. Tuņetai</w:t>
      </w:r>
      <w:r w:rsidRPr="002538A8">
        <w:rPr>
          <w:bCs/>
          <w:vertAlign w:val="superscript"/>
          <w:lang w:val="lv-LV"/>
        </w:rPr>
        <w:t>9</w:t>
      </w:r>
      <w:r w:rsidRPr="004D1F9B">
        <w:rPr>
          <w:bCs/>
          <w:lang w:val="lv-LV"/>
        </w:rPr>
        <w:t xml:space="preserve"> bij operācija degunā un atrada ķiršu kauliņu iekšā! Tā reiz ir ēšana!</w:t>
      </w:r>
    </w:p>
    <w:p w14:paraId="10023A44" w14:textId="77777777" w:rsidR="00062C35" w:rsidRDefault="00062C35" w:rsidP="00062C35">
      <w:pPr>
        <w:pStyle w:val="Paskaidrojums"/>
      </w:pPr>
      <w:r w:rsidRPr="004D1F9B">
        <w:t>[</w:t>
      </w:r>
      <w:r w:rsidRPr="00FD1F7C">
        <w:rPr>
          <w:i/>
          <w:iCs/>
        </w:rPr>
        <w:t>Turpinājums labajā malā vertikāli:</w:t>
      </w:r>
      <w:r w:rsidRPr="004D1F9B">
        <w:t>]</w:t>
      </w:r>
    </w:p>
    <w:p w14:paraId="4081F102" w14:textId="77777777" w:rsidR="00062C35" w:rsidRPr="004D1F9B" w:rsidRDefault="00062C35" w:rsidP="00062C35">
      <w:pPr>
        <w:rPr>
          <w:bCs/>
          <w:lang w:val="lv-LV"/>
        </w:rPr>
      </w:pPr>
      <w:r w:rsidRPr="004D1F9B">
        <w:rPr>
          <w:bCs/>
          <w:lang w:val="lv-LV"/>
        </w:rPr>
        <w:t xml:space="preserve">Bet tas nav mans ideāls! Nu, strādā, nerūpējies un neuztraucies, nedomā par mājām, ātrāk </w:t>
      </w:r>
      <w:r w:rsidRPr="001C6240">
        <w:rPr>
          <w:bCs/>
          <w:lang w:val="lv-LV"/>
        </w:rPr>
        <w:t>tiksi</w:t>
      </w:r>
      <w:r w:rsidRPr="004D1F9B">
        <w:rPr>
          <w:b/>
          <w:bCs/>
          <w:lang w:val="lv-LV"/>
        </w:rPr>
        <w:t xml:space="preserve"> </w:t>
      </w:r>
      <w:r w:rsidRPr="004D1F9B">
        <w:rPr>
          <w:bCs/>
          <w:lang w:val="lv-LV"/>
        </w:rPr>
        <w:t>vesela.</w:t>
      </w:r>
      <w:r>
        <w:rPr>
          <w:bCs/>
          <w:lang w:val="lv-LV"/>
        </w:rPr>
        <w:t xml:space="preserve"> — </w:t>
      </w:r>
      <w:r w:rsidRPr="004D1F9B">
        <w:rPr>
          <w:bCs/>
          <w:lang w:val="lv-LV"/>
        </w:rPr>
        <w:t>Kartis visas izrakstītas, nāk[amo] reizi nāks „Заключенный”</w:t>
      </w:r>
      <w:r w:rsidRPr="002538A8">
        <w:rPr>
          <w:bCs/>
          <w:vertAlign w:val="superscript"/>
          <w:lang w:val="lv-LV"/>
        </w:rPr>
        <w:t>10</w:t>
      </w:r>
      <w:r w:rsidRPr="004D1F9B">
        <w:rPr>
          <w:bCs/>
          <w:lang w:val="lv-LV"/>
        </w:rPr>
        <w:t>. Nav kad pirkt. Lido.</w:t>
      </w:r>
    </w:p>
    <w:p w14:paraId="5407BD4E" w14:textId="77777777" w:rsidR="00062C35" w:rsidRPr="004D1F9B" w:rsidRDefault="00062C35" w:rsidP="00062C35">
      <w:pPr>
        <w:pStyle w:val="Dati"/>
        <w:spacing w:after="0"/>
      </w:pPr>
      <w:r w:rsidRPr="004D1F9B">
        <w:t>Ilustrēta atklātne ar melnbaltu gleznas reprodukciju (RTMM 103758). Uzraksts: „</w:t>
      </w:r>
      <w:r w:rsidRPr="004D1F9B">
        <w:rPr>
          <w:i/>
        </w:rPr>
        <w:t>Una visita ai poveri morti.</w:t>
      </w:r>
      <w:r>
        <w:t>”</w:t>
      </w:r>
      <w:r w:rsidRPr="004D1F9B">
        <w:t xml:space="preserve"> Atklātnes otrā pusē iespiests: </w:t>
      </w:r>
      <w:r w:rsidRPr="00533717">
        <w:t>„</w:t>
      </w:r>
      <w:r w:rsidRPr="004D1F9B">
        <w:rPr>
          <w:i/>
        </w:rPr>
        <w:t>Idilii dei lagni dell‘Alta Italia</w:t>
      </w:r>
      <w:r w:rsidRPr="004D1F9B">
        <w:t>. № 4.</w:t>
      </w:r>
      <w:r>
        <w:t>”</w:t>
      </w:r>
      <w:r w:rsidRPr="004D1F9B">
        <w:t xml:space="preserve"> Teksts rakstīts ar melnu tinti. Atklātne adresēta: „Mme A. Naglin b/Fr. Dr. Farbstein, Zürich, Turnerstr. 22.</w:t>
      </w:r>
      <w:r>
        <w:t>”</w:t>
      </w:r>
      <w:r w:rsidRPr="004D1F9B">
        <w:t xml:space="preserve"> Kastaņolas pasta zīmogs ar datumu: „</w:t>
      </w:r>
      <w:r w:rsidRPr="004D1F9B">
        <w:rPr>
          <w:i/>
        </w:rPr>
        <w:t>11.X.11</w:t>
      </w:r>
      <w:r>
        <w:t>.”</w:t>
      </w:r>
    </w:p>
    <w:p w14:paraId="47F64289" w14:textId="77777777" w:rsidR="00062C35" w:rsidRDefault="00062C35" w:rsidP="00062C35">
      <w:pPr>
        <w:pStyle w:val="Dati"/>
        <w:spacing w:before="0"/>
      </w:pPr>
      <w:r w:rsidRPr="004D1F9B">
        <w:t>Pirmpublicējums RKR, 21.</w:t>
      </w:r>
      <w:r>
        <w:t> </w:t>
      </w:r>
      <w:r w:rsidRPr="004D1F9B">
        <w:t>sēj., 400.</w:t>
      </w:r>
      <w:r>
        <w:t>-4</w:t>
      </w:r>
      <w:r w:rsidRPr="004D1F9B">
        <w:t>01.</w:t>
      </w:r>
      <w:r>
        <w:t> </w:t>
      </w:r>
      <w:r w:rsidRPr="004D1F9B">
        <w:t>lpp. Nosūtīšanas vieta un datējums noteikts pēc pasta zīmoga.</w:t>
      </w:r>
    </w:p>
    <w:p w14:paraId="4D635C82" w14:textId="77777777" w:rsidR="00062C35" w:rsidRPr="004D1F9B" w:rsidRDefault="00062C35" w:rsidP="00062C35">
      <w:pPr>
        <w:rPr>
          <w:lang w:val="lv-LV"/>
        </w:rPr>
      </w:pPr>
      <w:r w:rsidRPr="002538A8">
        <w:rPr>
          <w:vertAlign w:val="superscript"/>
          <w:lang w:val="lv-LV"/>
        </w:rPr>
        <w:t>1</w:t>
      </w:r>
      <w:r w:rsidRPr="004D1F9B">
        <w:rPr>
          <w:lang w:val="lv-LV"/>
        </w:rPr>
        <w:t xml:space="preserve"> Acīmredzot domāts Aspazijas albums ar Lugānas skatukartēm</w:t>
      </w:r>
      <w:r>
        <w:rPr>
          <w:lang w:val="lv-LV"/>
        </w:rPr>
        <w:t>.</w:t>
      </w:r>
    </w:p>
    <w:p w14:paraId="77E0BFCA" w14:textId="77777777" w:rsidR="00062C35" w:rsidRDefault="00062C35" w:rsidP="00062C35">
      <w:pPr>
        <w:rPr>
          <w:lang w:val="lv-LV"/>
        </w:rPr>
      </w:pPr>
      <w:r w:rsidRPr="002538A8">
        <w:rPr>
          <w:vertAlign w:val="superscript"/>
          <w:lang w:val="lv-LV"/>
        </w:rPr>
        <w:t>2</w:t>
      </w:r>
      <w:r w:rsidRPr="004D1F9B">
        <w:rPr>
          <w:lang w:val="lv-LV"/>
        </w:rPr>
        <w:t xml:space="preserve"> Runa ir par lugas „Indulis un Ārija</w:t>
      </w:r>
      <w:r>
        <w:rPr>
          <w:lang w:val="lv-LV"/>
        </w:rPr>
        <w:t>”</w:t>
      </w:r>
      <w:r w:rsidRPr="004D1F9B">
        <w:rPr>
          <w:lang w:val="lv-LV"/>
        </w:rPr>
        <w:t xml:space="preserve"> fragmentu, kuru Aspazijai vajadzēja nodot</w:t>
      </w:r>
      <w:r>
        <w:rPr>
          <w:lang w:val="lv-LV"/>
        </w:rPr>
        <w:t xml:space="preserve"> R. </w:t>
      </w:r>
      <w:r w:rsidRPr="004D1F9B">
        <w:rPr>
          <w:lang w:val="lv-LV"/>
        </w:rPr>
        <w:t>Ivanovam pārrakstīšanai uz mašīnas.</w:t>
      </w:r>
    </w:p>
    <w:p w14:paraId="042A9D0D" w14:textId="77777777" w:rsidR="00062C35" w:rsidRDefault="00062C35" w:rsidP="00062C35">
      <w:pPr>
        <w:rPr>
          <w:lang w:val="lv-LV"/>
        </w:rPr>
      </w:pPr>
      <w:r w:rsidRPr="002538A8">
        <w:rPr>
          <w:vertAlign w:val="superscript"/>
          <w:lang w:val="lv-LV"/>
        </w:rPr>
        <w:t>3</w:t>
      </w:r>
      <w:r w:rsidRPr="004D1F9B">
        <w:rPr>
          <w:lang w:val="lv-LV"/>
        </w:rPr>
        <w:t xml:space="preserve"> </w:t>
      </w:r>
      <w:r w:rsidRPr="00946209">
        <w:rPr>
          <w:szCs w:val="24"/>
          <w:lang w:val="lv-LV"/>
        </w:rPr>
        <w:t xml:space="preserve">Kastaņolas villas </w:t>
      </w:r>
      <w:r w:rsidRPr="00946209">
        <w:rPr>
          <w:i/>
          <w:szCs w:val="24"/>
          <w:lang w:val="lv-LV"/>
        </w:rPr>
        <w:t>Stella d’Oro</w:t>
      </w:r>
      <w:r w:rsidRPr="00946209">
        <w:rPr>
          <w:szCs w:val="24"/>
          <w:lang w:val="lv-LV"/>
        </w:rPr>
        <w:t xml:space="preserve"> saimniece A. Bertoljo ļoti baidījās zaudēt savus pastāvīgos klientus „Arturu Nagliņu” ar kundzi, tādēļ viņu noturēšanai izmantoja dažādus paņēmienus, tostarp arī uzmanības apliecinājumus ziedu vai citus „Kastaņolas jaukumus” atgādinošu sūtījumu veidā prombūtnē esošajai Aspazijai.</w:t>
      </w:r>
    </w:p>
    <w:p w14:paraId="71D7A827" w14:textId="77777777" w:rsidR="00062C35" w:rsidRPr="004D1F9B" w:rsidRDefault="00062C35" w:rsidP="00062C35">
      <w:pPr>
        <w:rPr>
          <w:lang w:val="lv-LV"/>
        </w:rPr>
      </w:pPr>
      <w:r w:rsidRPr="00B21C4A">
        <w:rPr>
          <w:vertAlign w:val="superscript"/>
          <w:lang w:val="lv-LV"/>
        </w:rPr>
        <w:t xml:space="preserve">4 </w:t>
      </w:r>
      <w:r w:rsidRPr="004D1F9B">
        <w:rPr>
          <w:bCs/>
          <w:lang w:val="lv-LV"/>
        </w:rPr>
        <w:t>Domāta Aspazijas mīļā istabas palma, Lozannā (</w:t>
      </w:r>
      <w:r w:rsidRPr="004D1F9B">
        <w:rPr>
          <w:bCs/>
          <w:i/>
          <w:lang w:val="lv-LV"/>
        </w:rPr>
        <w:t>Lausanne</w:t>
      </w:r>
      <w:r w:rsidRPr="004D1F9B">
        <w:rPr>
          <w:bCs/>
          <w:lang w:val="lv-LV"/>
        </w:rPr>
        <w:t>) studējošās Marijas Liepiņas</w:t>
      </w:r>
      <w:r>
        <w:rPr>
          <w:bCs/>
          <w:lang w:val="lv-LV"/>
        </w:rPr>
        <w:t>,</w:t>
      </w:r>
      <w:r w:rsidRPr="004D1F9B">
        <w:rPr>
          <w:bCs/>
          <w:lang w:val="lv-LV"/>
        </w:rPr>
        <w:t xml:space="preserve"> </w:t>
      </w:r>
      <w:r>
        <w:rPr>
          <w:bCs/>
          <w:lang w:val="lv-LV"/>
        </w:rPr>
        <w:t>A. </w:t>
      </w:r>
      <w:r w:rsidRPr="004D1F9B">
        <w:rPr>
          <w:bCs/>
          <w:lang w:val="lv-LV"/>
        </w:rPr>
        <w:t>Lūkinas radinieces</w:t>
      </w:r>
      <w:r>
        <w:rPr>
          <w:bCs/>
          <w:lang w:val="lv-LV"/>
        </w:rPr>
        <w:t>,</w:t>
      </w:r>
      <w:r w:rsidRPr="004D1F9B">
        <w:rPr>
          <w:bCs/>
          <w:lang w:val="lv-LV"/>
        </w:rPr>
        <w:t xml:space="preserve"> dāvinājums abiem dzejniekiem kā pateicība par sirsnīgo uzņemšanu Kastaņolā 1911. gada pavasarī.</w:t>
      </w:r>
    </w:p>
    <w:p w14:paraId="795AD55A" w14:textId="77777777" w:rsidR="00062C35" w:rsidRDefault="00062C35" w:rsidP="00062C35">
      <w:pPr>
        <w:rPr>
          <w:lang w:val="lv-LV"/>
        </w:rPr>
      </w:pPr>
      <w:r w:rsidRPr="00B21C4A">
        <w:rPr>
          <w:vertAlign w:val="superscript"/>
          <w:lang w:val="lv-LV"/>
        </w:rPr>
        <w:t>5</w:t>
      </w:r>
      <w:r w:rsidRPr="004D1F9B">
        <w:rPr>
          <w:lang w:val="lv-LV"/>
        </w:rPr>
        <w:t xml:space="preserve"> Rainis te atsaucas uz A. Lūkinas (Lilijas) </w:t>
      </w:r>
      <w:r>
        <w:rPr>
          <w:lang w:val="lv-LV"/>
        </w:rPr>
        <w:t>23. </w:t>
      </w:r>
      <w:r w:rsidRPr="004D1F9B">
        <w:rPr>
          <w:lang w:val="lv-LV"/>
        </w:rPr>
        <w:t>septembra (6.</w:t>
      </w:r>
      <w:r>
        <w:rPr>
          <w:lang w:val="lv-LV"/>
        </w:rPr>
        <w:t> </w:t>
      </w:r>
      <w:r w:rsidRPr="004D1F9B">
        <w:rPr>
          <w:lang w:val="lv-LV"/>
        </w:rPr>
        <w:t>oktobra) vēstuli (RTMM 120236). Tajā viņam un Aspazijai Romā dzīvojošās tautietes Olgas Resnevicas-Sinjorelli (</w:t>
      </w:r>
      <w:r w:rsidRPr="004D1F9B">
        <w:rPr>
          <w:i/>
          <w:lang w:val="lv-LV"/>
        </w:rPr>
        <w:t>Signorelli</w:t>
      </w:r>
      <w:r w:rsidRPr="004D1F9B">
        <w:rPr>
          <w:lang w:val="lv-LV"/>
        </w:rPr>
        <w:t>), pēc profesijas</w:t>
      </w:r>
      <w:r>
        <w:rPr>
          <w:lang w:val="lv-LV"/>
        </w:rPr>
        <w:t xml:space="preserve"> — </w:t>
      </w:r>
      <w:r w:rsidRPr="004D1F9B">
        <w:rPr>
          <w:lang w:val="lv-LV"/>
        </w:rPr>
        <w:t xml:space="preserve">ārstes, vārdā tika izteikts uzaicinājums apmeklēt Itālijas galvaspilsētu, kamēr tur vēl apskatāma Starptautiskā mākslas izstāde. Tā kā O. Resnevica-Sinjorelli dzejniekpārim apmeklējuma laikā piedāvāja visu nepieciešamo palīdzību, </w:t>
      </w:r>
      <w:r>
        <w:rPr>
          <w:lang w:val="lv-LV"/>
        </w:rPr>
        <w:t>A. </w:t>
      </w:r>
      <w:r w:rsidRPr="004D1F9B">
        <w:rPr>
          <w:lang w:val="lv-LV"/>
        </w:rPr>
        <w:t>Lūkina mudināja Raini noteikti izmantot šo lielisko izdevību.</w:t>
      </w:r>
    </w:p>
    <w:p w14:paraId="2CB7E132" w14:textId="77777777" w:rsidR="00062C35" w:rsidRPr="004D1F9B" w:rsidRDefault="00062C35" w:rsidP="00062C35">
      <w:pPr>
        <w:rPr>
          <w:bCs/>
          <w:lang w:val="lv-LV"/>
        </w:rPr>
      </w:pPr>
      <w:r w:rsidRPr="00B21C4A">
        <w:rPr>
          <w:bCs/>
          <w:vertAlign w:val="superscript"/>
          <w:lang w:val="lv-LV"/>
        </w:rPr>
        <w:t>6</w:t>
      </w:r>
      <w:r w:rsidRPr="004D1F9B">
        <w:rPr>
          <w:bCs/>
          <w:lang w:val="lv-LV"/>
        </w:rPr>
        <w:t xml:space="preserve"> </w:t>
      </w:r>
      <w:r>
        <w:rPr>
          <w:bCs/>
          <w:lang w:val="lv-LV"/>
        </w:rPr>
        <w:t>K. un P. </w:t>
      </w:r>
      <w:r w:rsidRPr="004D1F9B">
        <w:rPr>
          <w:bCs/>
          <w:lang w:val="lv-LV"/>
        </w:rPr>
        <w:t>Kalniņi, nesenie Raiņa apmeklētāji Kastaņolā.</w:t>
      </w:r>
    </w:p>
    <w:p w14:paraId="25470C9D" w14:textId="77777777" w:rsidR="00062C35" w:rsidRPr="004D1F9B" w:rsidRDefault="00062C35" w:rsidP="00062C35">
      <w:pPr>
        <w:rPr>
          <w:bCs/>
          <w:lang w:val="lv-LV"/>
        </w:rPr>
      </w:pPr>
      <w:r w:rsidRPr="00B21C4A">
        <w:rPr>
          <w:bCs/>
          <w:vertAlign w:val="superscript"/>
          <w:lang w:val="lv-LV"/>
        </w:rPr>
        <w:lastRenderedPageBreak/>
        <w:t>7</w:t>
      </w:r>
      <w:r w:rsidRPr="004D1F9B">
        <w:rPr>
          <w:bCs/>
          <w:lang w:val="lv-LV"/>
        </w:rPr>
        <w:t xml:space="preserve"> Defekts (no vācu </w:t>
      </w:r>
      <w:r w:rsidRPr="004D1F9B">
        <w:rPr>
          <w:bCs/>
          <w:i/>
          <w:lang w:val="lv-LV"/>
        </w:rPr>
        <w:t>defekt</w:t>
      </w:r>
      <w:r>
        <w:rPr>
          <w:bCs/>
          <w:lang w:val="lv-LV"/>
        </w:rPr>
        <w:t xml:space="preserve"> — </w:t>
      </w:r>
      <w:r w:rsidRPr="004D1F9B">
        <w:rPr>
          <w:bCs/>
          <w:lang w:val="lv-LV"/>
        </w:rPr>
        <w:t>ar defektiem, bojājumiem; bojāts), šeit</w:t>
      </w:r>
      <w:r>
        <w:rPr>
          <w:bCs/>
          <w:lang w:val="lv-LV"/>
        </w:rPr>
        <w:t xml:space="preserve"> — </w:t>
      </w:r>
      <w:r w:rsidRPr="004D1F9B">
        <w:rPr>
          <w:bCs/>
          <w:lang w:val="lv-LV"/>
        </w:rPr>
        <w:t>ar bojātiem nerviem.</w:t>
      </w:r>
    </w:p>
    <w:p w14:paraId="31BBA785" w14:textId="77777777" w:rsidR="00062C35" w:rsidRPr="004D1F9B" w:rsidRDefault="00062C35" w:rsidP="00062C35">
      <w:pPr>
        <w:rPr>
          <w:bCs/>
          <w:lang w:val="lv-LV"/>
        </w:rPr>
      </w:pPr>
      <w:r w:rsidRPr="00B21C4A">
        <w:rPr>
          <w:bCs/>
          <w:vertAlign w:val="superscript"/>
          <w:lang w:val="lv-LV"/>
        </w:rPr>
        <w:t>8</w:t>
      </w:r>
      <w:r w:rsidRPr="004D1F9B">
        <w:rPr>
          <w:bCs/>
          <w:lang w:val="lv-LV"/>
        </w:rPr>
        <w:t xml:space="preserve"> Atšķirībā no Aspazijas, kura ik vēstulē mudināja Raini steigšus braukt uz Cīri</w:t>
      </w:r>
      <w:r>
        <w:rPr>
          <w:bCs/>
          <w:lang w:val="lv-LV"/>
        </w:rPr>
        <w:t>hi un uzsākt ārstēšanos pie dr. </w:t>
      </w:r>
      <w:r w:rsidRPr="004D1F9B">
        <w:rPr>
          <w:bCs/>
          <w:lang w:val="lv-LV"/>
        </w:rPr>
        <w:t>Farbšteinas, ārste pati, kā dzejniece atzīmējusi 10. oktobra atklātnē, uz to īpaši neuzstāja.</w:t>
      </w:r>
    </w:p>
    <w:p w14:paraId="071673E9" w14:textId="77777777" w:rsidR="00062C35" w:rsidRPr="004D1F9B" w:rsidRDefault="00062C35" w:rsidP="00062C35">
      <w:pPr>
        <w:rPr>
          <w:bCs/>
          <w:lang w:val="lv-LV"/>
        </w:rPr>
      </w:pPr>
      <w:r w:rsidRPr="00B21C4A">
        <w:rPr>
          <w:bCs/>
          <w:vertAlign w:val="superscript"/>
          <w:lang w:val="lv-LV"/>
        </w:rPr>
        <w:t>9</w:t>
      </w:r>
      <w:r w:rsidRPr="004D1F9B">
        <w:rPr>
          <w:bCs/>
          <w:lang w:val="lv-LV"/>
        </w:rPr>
        <w:t xml:space="preserve"> Tuņeta (</w:t>
      </w:r>
      <w:r w:rsidRPr="004D1F9B">
        <w:rPr>
          <w:bCs/>
          <w:i/>
          <w:lang w:val="lv-LV"/>
        </w:rPr>
        <w:t>Tunietta</w:t>
      </w:r>
      <w:r w:rsidRPr="004D1F9B">
        <w:rPr>
          <w:bCs/>
          <w:lang w:val="lv-LV"/>
        </w:rPr>
        <w:t>)</w:t>
      </w:r>
      <w:r>
        <w:rPr>
          <w:bCs/>
          <w:lang w:val="lv-LV"/>
        </w:rPr>
        <w:t xml:space="preserve"> — </w:t>
      </w:r>
      <w:r w:rsidRPr="004D1F9B">
        <w:rPr>
          <w:bCs/>
          <w:lang w:val="lv-LV"/>
        </w:rPr>
        <w:t xml:space="preserve">saīsinājums no itāļu īpašvārda </w:t>
      </w:r>
      <w:r w:rsidRPr="004D1F9B">
        <w:rPr>
          <w:bCs/>
          <w:i/>
          <w:lang w:val="lv-LV"/>
        </w:rPr>
        <w:t>Antonietta</w:t>
      </w:r>
      <w:r w:rsidRPr="004D1F9B">
        <w:rPr>
          <w:bCs/>
          <w:lang w:val="lv-LV"/>
        </w:rPr>
        <w:t xml:space="preserve">. Runa ir par Antonjetu Bertoljo, jaunāko no četrām villas </w:t>
      </w:r>
      <w:r w:rsidRPr="004D1F9B">
        <w:rPr>
          <w:bCs/>
          <w:i/>
          <w:lang w:val="lv-LV"/>
        </w:rPr>
        <w:t>Stella d’Oro</w:t>
      </w:r>
      <w:r w:rsidRPr="004D1F9B">
        <w:rPr>
          <w:bCs/>
          <w:lang w:val="lv-LV"/>
        </w:rPr>
        <w:t xml:space="preserve"> saimnieku</w:t>
      </w:r>
      <w:r>
        <w:rPr>
          <w:bCs/>
          <w:lang w:val="lv-LV"/>
        </w:rPr>
        <w:t xml:space="preserve"> — </w:t>
      </w:r>
      <w:r w:rsidRPr="004D1F9B">
        <w:rPr>
          <w:bCs/>
          <w:lang w:val="lv-LV"/>
        </w:rPr>
        <w:t>Bertoljo pāra</w:t>
      </w:r>
      <w:r>
        <w:rPr>
          <w:bCs/>
          <w:lang w:val="lv-LV"/>
        </w:rPr>
        <w:t xml:space="preserve"> — </w:t>
      </w:r>
      <w:r w:rsidRPr="004D1F9B">
        <w:rPr>
          <w:bCs/>
          <w:lang w:val="lv-LV"/>
        </w:rPr>
        <w:t>meitām.</w:t>
      </w:r>
    </w:p>
    <w:p w14:paraId="036955EA" w14:textId="77777777" w:rsidR="00062C35" w:rsidRDefault="00062C35" w:rsidP="00062C35">
      <w:pPr>
        <w:rPr>
          <w:bCs/>
          <w:lang w:val="lv-LV"/>
        </w:rPr>
      </w:pPr>
      <w:r w:rsidRPr="005921B0">
        <w:rPr>
          <w:bCs/>
          <w:vertAlign w:val="superscript"/>
          <w:lang w:val="lv-LV"/>
        </w:rPr>
        <w:t>10</w:t>
      </w:r>
      <w:r w:rsidRPr="004D1F9B">
        <w:rPr>
          <w:bCs/>
          <w:lang w:val="lv-LV"/>
        </w:rPr>
        <w:t xml:space="preserve"> „Cietumnieks</w:t>
      </w:r>
      <w:r>
        <w:rPr>
          <w:bCs/>
          <w:lang w:val="lv-LV"/>
        </w:rPr>
        <w:t>”</w:t>
      </w:r>
      <w:r w:rsidRPr="004D1F9B">
        <w:rPr>
          <w:bCs/>
          <w:i/>
          <w:lang w:val="lv-LV"/>
        </w:rPr>
        <w:t xml:space="preserve"> </w:t>
      </w:r>
      <w:r w:rsidRPr="004D1F9B">
        <w:rPr>
          <w:bCs/>
          <w:lang w:val="lv-LV"/>
        </w:rPr>
        <w:t>(krievu val.). Domāta atklātne ar attiecīga temata gleznas reprodukciju.</w:t>
      </w:r>
    </w:p>
    <w:p w14:paraId="067DAE15" w14:textId="68462E90" w:rsidR="00D71430" w:rsidRPr="00062C35" w:rsidRDefault="00D71430" w:rsidP="00062C35"/>
    <w:sectPr w:rsidR="00D71430" w:rsidRPr="00062C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515E5" w14:textId="77777777" w:rsidR="00B03281" w:rsidRDefault="00B03281" w:rsidP="00CC0FA4">
      <w:r>
        <w:separator/>
      </w:r>
    </w:p>
  </w:endnote>
  <w:endnote w:type="continuationSeparator" w:id="0">
    <w:p w14:paraId="76568F73" w14:textId="77777777" w:rsidR="00B03281" w:rsidRDefault="00B03281"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666AC" w14:textId="77777777" w:rsidR="00B03281" w:rsidRDefault="00B03281" w:rsidP="00CC0FA4">
      <w:r>
        <w:separator/>
      </w:r>
    </w:p>
  </w:footnote>
  <w:footnote w:type="continuationSeparator" w:id="0">
    <w:p w14:paraId="43E179D6" w14:textId="77777777" w:rsidR="00B03281" w:rsidRDefault="00B03281"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28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2215</Words>
  <Characters>1263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2020-10-04T10:07:00Z</dcterms:created>
  <dcterms:modified xsi:type="dcterms:W3CDTF">2020-10-04T10:07:00Z</dcterms:modified>
</cp:coreProperties>
</file>