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8C0E6" w14:textId="77777777" w:rsidR="00492C87" w:rsidRPr="00EC6C42" w:rsidRDefault="00492C87" w:rsidP="00492C87">
      <w:pPr>
        <w:pStyle w:val="Virsraksts1"/>
        <w:rPr>
          <w:lang w:val="lv-LV"/>
        </w:rPr>
      </w:pPr>
      <w:r w:rsidRPr="00EC6C42">
        <w:rPr>
          <w:lang w:val="lv-LV"/>
        </w:rPr>
        <w:t>Rainis K</w:t>
      </w:r>
      <w:r>
        <w:rPr>
          <w:lang w:val="lv-LV"/>
        </w:rPr>
        <w:t>astaņolā 1911. gada 13. oktobrī</w:t>
      </w:r>
    </w:p>
    <w:p w14:paraId="32AD1AFC" w14:textId="77777777" w:rsidR="00492C87" w:rsidRDefault="00492C87" w:rsidP="00492C87">
      <w:pPr>
        <w:rPr>
          <w:lang w:val="lv-LV"/>
        </w:rPr>
      </w:pPr>
      <w:r w:rsidRPr="004D1F9B">
        <w:rPr>
          <w:lang w:val="lv-LV"/>
        </w:rPr>
        <w:t>Mīļo sirsniņ, silberfluß</w:t>
      </w:r>
      <w:r w:rsidRPr="00EC6C42">
        <w:rPr>
          <w:vertAlign w:val="superscript"/>
          <w:lang w:val="lv-LV"/>
        </w:rPr>
        <w:t>1</w:t>
      </w:r>
      <w:r w:rsidRPr="004D1F9B">
        <w:rPr>
          <w:lang w:val="lv-LV"/>
        </w:rPr>
        <w:t>, li vien, tā ir labi, tad ātrāk beigsi darbu.</w:t>
      </w:r>
      <w:r w:rsidRPr="00EC6C42">
        <w:rPr>
          <w:vertAlign w:val="superscript"/>
          <w:lang w:val="lv-LV"/>
        </w:rPr>
        <w:t>2</w:t>
      </w:r>
      <w:r w:rsidRPr="004D1F9B">
        <w:rPr>
          <w:lang w:val="lv-LV"/>
        </w:rPr>
        <w:t xml:space="preserve"> Vai nākamu nedēļu vēl būs? Citādi es sūtītu pāris vēstules, kā uz tām atbildēts.</w:t>
      </w:r>
      <w:r w:rsidRPr="00EC6C42">
        <w:rPr>
          <w:vertAlign w:val="superscript"/>
          <w:lang w:val="lv-LV"/>
        </w:rPr>
        <w:t>3</w:t>
      </w:r>
      <w:r>
        <w:rPr>
          <w:lang w:val="lv-LV"/>
        </w:rPr>
        <w:t xml:space="preserve"> — </w:t>
      </w:r>
      <w:r w:rsidRPr="004D1F9B">
        <w:rPr>
          <w:lang w:val="lv-LV"/>
        </w:rPr>
        <w:t>Kā tas man gadījies, ka es aizsūtījis Ivan[ovam] bez adreses</w:t>
      </w:r>
      <w:r w:rsidRPr="00EC6C42">
        <w:rPr>
          <w:lang w:val="lv-LV"/>
        </w:rPr>
        <w:t xml:space="preserve"> </w:t>
      </w:r>
      <w:r w:rsidRPr="004D1F9B">
        <w:rPr>
          <w:lang w:val="lv-LV"/>
        </w:rPr>
        <w:t>un ka pastnieks to arī nav manījis?</w:t>
      </w:r>
      <w:r w:rsidRPr="00EC6C42">
        <w:rPr>
          <w:vertAlign w:val="superscript"/>
          <w:lang w:val="lv-LV"/>
        </w:rPr>
        <w:t>4</w:t>
      </w:r>
      <w:r w:rsidRPr="00EC6C42">
        <w:rPr>
          <w:lang w:val="lv-LV"/>
        </w:rPr>
        <w:t xml:space="preserve"> </w:t>
      </w:r>
      <w:r w:rsidRPr="004D1F9B">
        <w:rPr>
          <w:lang w:val="lv-LV"/>
        </w:rPr>
        <w:t>Bet gudri pastnieki Cīrihē, pārāki par mūsu freileni</w:t>
      </w:r>
      <w:r w:rsidRPr="00EC6C42">
        <w:rPr>
          <w:vertAlign w:val="superscript"/>
          <w:lang w:val="lv-LV"/>
        </w:rPr>
        <w:t>5</w:t>
      </w:r>
      <w:r w:rsidRPr="004D1F9B">
        <w:rPr>
          <w:lang w:val="lv-LV"/>
        </w:rPr>
        <w:t>, kas pieprasa, vai poste restanti</w:t>
      </w:r>
      <w:r w:rsidRPr="00EC6C42">
        <w:rPr>
          <w:vertAlign w:val="superscript"/>
          <w:lang w:val="lv-LV"/>
        </w:rPr>
        <w:t>6</w:t>
      </w:r>
      <w:r w:rsidRPr="004D1F9B">
        <w:rPr>
          <w:lang w:val="lv-LV"/>
        </w:rPr>
        <w:t xml:space="preserve"> nes mājās.</w:t>
      </w:r>
      <w:r>
        <w:rPr>
          <w:lang w:val="lv-LV"/>
        </w:rPr>
        <w:t xml:space="preserve"> — </w:t>
      </w:r>
      <w:r w:rsidRPr="004D1F9B">
        <w:rPr>
          <w:lang w:val="lv-LV"/>
        </w:rPr>
        <w:t>Vai albumā</w:t>
      </w:r>
      <w:r w:rsidRPr="00EC6C42">
        <w:rPr>
          <w:vertAlign w:val="superscript"/>
          <w:lang w:val="lv-LV"/>
        </w:rPr>
        <w:t>7</w:t>
      </w:r>
      <w:r w:rsidRPr="00EC6C42">
        <w:rPr>
          <w:lang w:val="lv-LV"/>
        </w:rPr>
        <w:t xml:space="preserve"> </w:t>
      </w:r>
      <w:r w:rsidRPr="004D1F9B">
        <w:rPr>
          <w:lang w:val="lv-LV"/>
        </w:rPr>
        <w:t>atradi arī manuskriptu, I cēl[iena] beigas</w:t>
      </w:r>
      <w:r w:rsidRPr="00EC6C42">
        <w:rPr>
          <w:vertAlign w:val="superscript"/>
          <w:lang w:val="lv-LV"/>
        </w:rPr>
        <w:t>8</w:t>
      </w:r>
      <w:r w:rsidRPr="004D1F9B">
        <w:rPr>
          <w:lang w:val="lv-LV"/>
        </w:rPr>
        <w:t>?</w:t>
      </w:r>
      <w:r>
        <w:rPr>
          <w:lang w:val="lv-LV"/>
        </w:rPr>
        <w:t xml:space="preserve"> — </w:t>
      </w:r>
      <w:r w:rsidRPr="00EC6C42">
        <w:rPr>
          <w:lang w:val="lv-LV"/>
        </w:rPr>
        <w:t xml:space="preserve">Saimniecei atraksti tikai </w:t>
      </w:r>
      <w:r w:rsidRPr="00EC6C42">
        <w:rPr>
          <w:bCs/>
          <w:lang w:val="lv-LV"/>
        </w:rPr>
        <w:t>b[uon]giorno</w:t>
      </w:r>
      <w:r w:rsidRPr="00EC6C42">
        <w:rPr>
          <w:bCs/>
          <w:vertAlign w:val="superscript"/>
          <w:lang w:val="lv-LV"/>
        </w:rPr>
        <w:t>9</w:t>
      </w:r>
      <w:r w:rsidRPr="00EC6C42">
        <w:rPr>
          <w:lang w:val="lv-LV"/>
        </w:rPr>
        <w:t xml:space="preserve"> un man arī neraksti gari, tikai „lido”</w:t>
      </w:r>
      <w:r w:rsidRPr="00EC6C42">
        <w:rPr>
          <w:vertAlign w:val="superscript"/>
          <w:lang w:val="lv-LV"/>
        </w:rPr>
        <w:t>10</w:t>
      </w:r>
      <w:r w:rsidRPr="00EC6C42">
        <w:rPr>
          <w:lang w:val="lv-LV"/>
        </w:rPr>
        <w:t xml:space="preserve"> pieliec klāt.</w:t>
      </w:r>
      <w:r>
        <w:rPr>
          <w:lang w:val="lv-LV"/>
        </w:rPr>
        <w:t xml:space="preserve"> — </w:t>
      </w:r>
      <w:r w:rsidRPr="00EC6C42">
        <w:rPr>
          <w:lang w:val="lv-LV"/>
        </w:rPr>
        <w:t>Gulbis jau sludinājis savu „Univ[ersālo] Bibliotēku” gari un plaši.</w:t>
      </w:r>
      <w:r w:rsidRPr="00EC6C42">
        <w:rPr>
          <w:vertAlign w:val="superscript"/>
          <w:lang w:val="lv-LV"/>
        </w:rPr>
        <w:t>11</w:t>
      </w:r>
      <w:r>
        <w:rPr>
          <w:lang w:val="lv-LV"/>
        </w:rPr>
        <w:t xml:space="preserve"> — </w:t>
      </w:r>
      <w:r w:rsidRPr="00EC6C42">
        <w:rPr>
          <w:lang w:val="lv-LV"/>
        </w:rPr>
        <w:t>Vai avīzes Tu dabū lasīt? un vai gribi?</w:t>
      </w:r>
      <w:r>
        <w:rPr>
          <w:lang w:val="lv-LV"/>
        </w:rPr>
        <w:t xml:space="preserve"> — </w:t>
      </w:r>
      <w:r w:rsidRPr="00EC6C42">
        <w:rPr>
          <w:lang w:val="lv-LV"/>
        </w:rPr>
        <w:t>Ettore</w:t>
      </w:r>
      <w:r w:rsidRPr="00EC6C42">
        <w:rPr>
          <w:vertAlign w:val="superscript"/>
          <w:lang w:val="lv-LV"/>
        </w:rPr>
        <w:t>12</w:t>
      </w:r>
      <w:r w:rsidRPr="00EC6C42">
        <w:rPr>
          <w:lang w:val="lv-LV"/>
        </w:rPr>
        <w:t xml:space="preserve"> brauc projām, vispusējs liels nemiers. Ettorem mājās būs jālavorā</w:t>
      </w:r>
      <w:r w:rsidRPr="00EC6C42">
        <w:rPr>
          <w:vertAlign w:val="superscript"/>
          <w:lang w:val="lv-LV"/>
        </w:rPr>
        <w:t>13</w:t>
      </w:r>
      <w:r w:rsidRPr="00EC6C42">
        <w:rPr>
          <w:lang w:val="lv-LV"/>
        </w:rPr>
        <w:t>, un vecene</w:t>
      </w:r>
      <w:r w:rsidRPr="00EC6C42">
        <w:rPr>
          <w:vertAlign w:val="superscript"/>
          <w:lang w:val="lv-LV"/>
        </w:rPr>
        <w:t>14</w:t>
      </w:r>
      <w:r w:rsidRPr="00EC6C42">
        <w:rPr>
          <w:lang w:val="lv-LV"/>
        </w:rPr>
        <w:t xml:space="preserve"> bēdājas, ka izlaidusi viņu uz nedēļu Gallaratē</w:t>
      </w:r>
      <w:r w:rsidRPr="00EC6C42">
        <w:rPr>
          <w:vertAlign w:val="superscript"/>
          <w:lang w:val="lv-LV"/>
        </w:rPr>
        <w:t>15</w:t>
      </w:r>
      <w:r w:rsidRPr="00EC6C42">
        <w:rPr>
          <w:lang w:val="lv-LV"/>
        </w:rPr>
        <w:t xml:space="preserve"> un pārbraucis šurp gluži noliesējis, kā tādu lai sūtot</w:t>
      </w:r>
    </w:p>
    <w:p w14:paraId="35F110CF" w14:textId="77777777" w:rsidR="00492C87" w:rsidRDefault="00492C87" w:rsidP="00492C87">
      <w:pPr>
        <w:pStyle w:val="Paskaidrojums"/>
      </w:pPr>
      <w:r w:rsidRPr="00EC6C42">
        <w:t>[</w:t>
      </w:r>
      <w:r w:rsidRPr="008F17E8">
        <w:rPr>
          <w:i/>
          <w:iCs/>
        </w:rPr>
        <w:t>turpinājums ačgārni virs pirmās rindas</w:t>
      </w:r>
      <w:r w:rsidRPr="00EC6C42">
        <w:t>]</w:t>
      </w:r>
    </w:p>
    <w:p w14:paraId="7C1EB82D" w14:textId="77777777" w:rsidR="00492C87" w:rsidRPr="00EC6C42" w:rsidRDefault="00492C87" w:rsidP="00492C87">
      <w:pPr>
        <w:rPr>
          <w:lang w:val="lv-LV"/>
        </w:rPr>
      </w:pPr>
      <w:r w:rsidRPr="00EC6C42">
        <w:rPr>
          <w:lang w:val="lv-LV"/>
        </w:rPr>
        <w:t>mājās pie mātes? Ko tā teikšot? Tā nu iet. Lido.</w:t>
      </w:r>
    </w:p>
    <w:p w14:paraId="418C9487" w14:textId="77777777" w:rsidR="00492C87" w:rsidRPr="004D1F9B" w:rsidRDefault="00492C87" w:rsidP="00492C87">
      <w:pPr>
        <w:pStyle w:val="Dati"/>
        <w:spacing w:after="0"/>
      </w:pPr>
      <w:r w:rsidRPr="004D1F9B">
        <w:t>Ilustrēta atklātne ar krāsainu ziedu kompozīcijas fotoattēlu (RTMM 15783). Atklātnes otrā pusē: „</w:t>
      </w:r>
      <w:r w:rsidRPr="004D1F9B">
        <w:rPr>
          <w:i/>
        </w:rPr>
        <w:t>Haus Bender, Zürich.</w:t>
      </w:r>
      <w:r>
        <w:t>”</w:t>
      </w:r>
      <w:r w:rsidRPr="004D1F9B">
        <w:t xml:space="preserve"> Teksts rakstīts ar melnu tinti; vairākās vietās izsmērēts. Atklātne adresēta: „Mme A. Naglin b/Fr. Dr. Farbstein, Zürich, Turnerstr. 22.</w:t>
      </w:r>
      <w:r>
        <w:t>”</w:t>
      </w:r>
      <w:r w:rsidRPr="004D1F9B">
        <w:t xml:space="preserve"> Kastaņolas pasta zīmogs ar datumu: „</w:t>
      </w:r>
      <w:r w:rsidRPr="004D1F9B">
        <w:rPr>
          <w:i/>
        </w:rPr>
        <w:t>13.X.11</w:t>
      </w:r>
      <w:r>
        <w:t>.”</w:t>
      </w:r>
    </w:p>
    <w:p w14:paraId="492AD463" w14:textId="77777777" w:rsidR="00492C87" w:rsidRPr="004D1F9B" w:rsidRDefault="00492C87" w:rsidP="00492C87">
      <w:pPr>
        <w:pStyle w:val="Dati"/>
        <w:spacing w:before="0" w:after="0"/>
      </w:pPr>
      <w:r w:rsidRPr="004D1F9B">
        <w:t>Atklātnes teksta pusē brūni, izsmērēti traipi.</w:t>
      </w:r>
    </w:p>
    <w:p w14:paraId="0B22AF89" w14:textId="77777777" w:rsidR="00492C87" w:rsidRDefault="00492C87" w:rsidP="00492C87">
      <w:pPr>
        <w:pStyle w:val="Dati"/>
        <w:spacing w:before="0"/>
      </w:pPr>
      <w:r w:rsidRPr="004D1F9B">
        <w:t>Pirmpublicējums RKR, 21.</w:t>
      </w:r>
      <w:r>
        <w:t> </w:t>
      </w:r>
      <w:r w:rsidRPr="004D1F9B">
        <w:t>sēj., 402.</w:t>
      </w:r>
      <w:r>
        <w:t> </w:t>
      </w:r>
      <w:r w:rsidRPr="004D1F9B">
        <w:t>lpp. Nosūtīšanas vieta un datējums noteikts pēc pasta zīmoga.</w:t>
      </w:r>
    </w:p>
    <w:p w14:paraId="4CB4DEE1" w14:textId="77777777" w:rsidR="00492C87" w:rsidRPr="004D1F9B" w:rsidRDefault="00492C87" w:rsidP="00492C87">
      <w:pPr>
        <w:rPr>
          <w:lang w:val="lv-LV"/>
        </w:rPr>
      </w:pPr>
      <w:r w:rsidRPr="005E316C">
        <w:rPr>
          <w:vertAlign w:val="superscript"/>
          <w:lang w:val="lv-LV"/>
        </w:rPr>
        <w:t>1</w:t>
      </w:r>
      <w:r w:rsidRPr="004D1F9B">
        <w:rPr>
          <w:lang w:val="lv-LV"/>
        </w:rPr>
        <w:t xml:space="preserve"> Sudraba upe (vācu val.).</w:t>
      </w:r>
    </w:p>
    <w:p w14:paraId="51D73BD9" w14:textId="77777777" w:rsidR="00492C87" w:rsidRDefault="00492C87" w:rsidP="00492C87">
      <w:pPr>
        <w:rPr>
          <w:lang w:val="lv-LV"/>
        </w:rPr>
      </w:pPr>
      <w:r w:rsidRPr="005E316C">
        <w:rPr>
          <w:vertAlign w:val="superscript"/>
          <w:lang w:val="lv-LV"/>
        </w:rPr>
        <w:t>2</w:t>
      </w:r>
      <w:r w:rsidRPr="004D1F9B">
        <w:rPr>
          <w:lang w:val="lv-LV"/>
        </w:rPr>
        <w:t xml:space="preserve"> Domāts dzejoļu krājums „Ziedu klēpis”.</w:t>
      </w:r>
    </w:p>
    <w:p w14:paraId="491FD311" w14:textId="77777777" w:rsidR="00492C87" w:rsidRPr="004D1F9B" w:rsidRDefault="00492C87" w:rsidP="00492C87">
      <w:pPr>
        <w:rPr>
          <w:lang w:val="lv-LV"/>
        </w:rPr>
      </w:pPr>
      <w:r w:rsidRPr="005E316C">
        <w:rPr>
          <w:vertAlign w:val="superscript"/>
          <w:lang w:val="lv-LV"/>
        </w:rPr>
        <w:t>3</w:t>
      </w:r>
      <w:r w:rsidRPr="004D1F9B">
        <w:rPr>
          <w:lang w:val="lv-LV"/>
        </w:rPr>
        <w:t xml:space="preserve"> Sarakstē ar saviem vēstuļu partneriem, sevišķi ar literatūrkritiķiem, kuri vērtēja viņa darbus, Rainis reizēm ļāva vaļu pārāk sakāpinātām emocijām, ko apzinājās arī pats. (Savā 1911. gada 24. septembra vēstulē Andrejam Upītim viņš, piemēram, atzinās: „ .. es jūtu personiskus aizskārumus, kur citi to nejustu un kur tie kā tādi varbūt nav domāti.</w:t>
      </w:r>
      <w:r>
        <w:rPr>
          <w:lang w:val="lv-LV"/>
        </w:rPr>
        <w:t>”</w:t>
      </w:r>
      <w:r w:rsidRPr="004D1F9B">
        <w:rPr>
          <w:lang w:val="lv-LV"/>
        </w:rPr>
        <w:t xml:space="preserve"> (RTMM 18561)) Tādēļ nopietnos, atbildīgos gadījumos, ja vien bija iespējams, dzejnieks savas atbildes uz saņemto korespondenci mēdza saskaņot ar Aspazij</w:t>
      </w:r>
      <w:r>
        <w:rPr>
          <w:lang w:val="lv-LV"/>
        </w:rPr>
        <w:t>u.</w:t>
      </w:r>
    </w:p>
    <w:p w14:paraId="64F107D8" w14:textId="77777777" w:rsidR="00492C87" w:rsidRDefault="00492C87" w:rsidP="00492C87">
      <w:pPr>
        <w:rPr>
          <w:lang w:val="lv-LV"/>
        </w:rPr>
      </w:pPr>
      <w:r w:rsidRPr="005E316C">
        <w:rPr>
          <w:vertAlign w:val="superscript"/>
          <w:lang w:val="lv-LV"/>
        </w:rPr>
        <w:t>4</w:t>
      </w:r>
      <w:r w:rsidRPr="004D1F9B">
        <w:rPr>
          <w:lang w:val="lv-LV"/>
        </w:rPr>
        <w:t xml:space="preserve"> Pastnieks, uz kuru attiecināta šī Raiņa replika, acīmredzot ir Kastaņolas pasta nodaļas priekšnieks Noe Reconiko (</w:t>
      </w:r>
      <w:r w:rsidRPr="004D1F9B">
        <w:rPr>
          <w:i/>
          <w:lang w:val="lv-LV"/>
        </w:rPr>
        <w:t>Noè Rezzonico</w:t>
      </w:r>
      <w:r w:rsidRPr="004D1F9B">
        <w:rPr>
          <w:lang w:val="lv-LV"/>
        </w:rPr>
        <w:t>).</w:t>
      </w:r>
    </w:p>
    <w:p w14:paraId="0DC6CD0D" w14:textId="77777777" w:rsidR="00492C87" w:rsidRPr="004D1F9B" w:rsidRDefault="00492C87" w:rsidP="00492C87">
      <w:pPr>
        <w:rPr>
          <w:lang w:val="lv-LV"/>
        </w:rPr>
      </w:pPr>
      <w:r w:rsidRPr="005E316C">
        <w:rPr>
          <w:bCs/>
          <w:vertAlign w:val="superscript"/>
          <w:lang w:val="lv-LV"/>
        </w:rPr>
        <w:t>5</w:t>
      </w:r>
      <w:r w:rsidRPr="004D1F9B">
        <w:rPr>
          <w:bCs/>
          <w:lang w:val="lv-LV"/>
        </w:rPr>
        <w:t xml:space="preserve"> Runa ir par Kastaņolas pasta nodaļas darbinieci B. Albrehtu.</w:t>
      </w:r>
    </w:p>
    <w:p w14:paraId="1EB52E90" w14:textId="77777777" w:rsidR="00492C87" w:rsidRDefault="00492C87" w:rsidP="00492C87">
      <w:pPr>
        <w:rPr>
          <w:lang w:val="lv-LV"/>
        </w:rPr>
      </w:pPr>
      <w:r w:rsidRPr="005E316C">
        <w:rPr>
          <w:vertAlign w:val="superscript"/>
          <w:lang w:val="lv-LV"/>
        </w:rPr>
        <w:t>6</w:t>
      </w:r>
      <w:r w:rsidRPr="004D1F9B">
        <w:rPr>
          <w:lang w:val="lv-LV"/>
        </w:rPr>
        <w:t xml:space="preserve"> </w:t>
      </w:r>
      <w:r w:rsidRPr="004D1F9B">
        <w:rPr>
          <w:i/>
          <w:lang w:val="lv-LV"/>
        </w:rPr>
        <w:t>Poste restante</w:t>
      </w:r>
      <w:r w:rsidRPr="004D1F9B">
        <w:rPr>
          <w:lang w:val="lv-LV"/>
        </w:rPr>
        <w:t xml:space="preserve"> (franču val.)</w:t>
      </w:r>
      <w:r>
        <w:rPr>
          <w:lang w:val="lv-LV"/>
        </w:rPr>
        <w:t xml:space="preserve"> — „paliekošais pasts”</w:t>
      </w:r>
      <w:r w:rsidRPr="004D1F9B">
        <w:rPr>
          <w:lang w:val="lv-LV"/>
        </w:rPr>
        <w:t>, t.i., pasts uz pieprasījumu.</w:t>
      </w:r>
    </w:p>
    <w:p w14:paraId="27C7FEB0" w14:textId="77777777" w:rsidR="00492C87" w:rsidRDefault="00492C87" w:rsidP="00492C87">
      <w:pPr>
        <w:rPr>
          <w:lang w:val="lv-LV"/>
        </w:rPr>
      </w:pPr>
      <w:r w:rsidRPr="005E316C">
        <w:rPr>
          <w:vertAlign w:val="superscript"/>
          <w:lang w:val="lv-LV"/>
        </w:rPr>
        <w:t>7</w:t>
      </w:r>
      <w:r w:rsidRPr="004D1F9B">
        <w:rPr>
          <w:lang w:val="lv-LV"/>
        </w:rPr>
        <w:t xml:space="preserve"> Acīmredzot domāts Aspazijas albums ar Lugānas skatukartēm</w:t>
      </w:r>
      <w:r>
        <w:rPr>
          <w:lang w:val="lv-LV"/>
        </w:rPr>
        <w:t>.</w:t>
      </w:r>
    </w:p>
    <w:p w14:paraId="3E827E81" w14:textId="77777777" w:rsidR="00492C87" w:rsidRDefault="00492C87" w:rsidP="00492C87">
      <w:pPr>
        <w:rPr>
          <w:lang w:val="lv-LV"/>
        </w:rPr>
      </w:pPr>
      <w:r w:rsidRPr="005E316C">
        <w:rPr>
          <w:vertAlign w:val="superscript"/>
          <w:lang w:val="lv-LV"/>
        </w:rPr>
        <w:t>8</w:t>
      </w:r>
      <w:r w:rsidRPr="004D1F9B">
        <w:rPr>
          <w:lang w:val="lv-LV"/>
        </w:rPr>
        <w:t xml:space="preserve"> Domāts pārrakstīšanai uz mašīnas sagatavotais</w:t>
      </w:r>
      <w:r>
        <w:rPr>
          <w:lang w:val="lv-LV"/>
        </w:rPr>
        <w:t xml:space="preserve"> lugas „Indulis un Ārija”</w:t>
      </w:r>
      <w:r w:rsidRPr="004D1F9B">
        <w:rPr>
          <w:lang w:val="lv-LV"/>
        </w:rPr>
        <w:t xml:space="preserve"> fragments.</w:t>
      </w:r>
    </w:p>
    <w:p w14:paraId="2F3BE92A" w14:textId="77777777" w:rsidR="00492C87" w:rsidRPr="004D1F9B" w:rsidRDefault="00492C87" w:rsidP="00492C87">
      <w:pPr>
        <w:rPr>
          <w:lang w:val="lv-LV"/>
        </w:rPr>
      </w:pPr>
      <w:r w:rsidRPr="005E316C">
        <w:rPr>
          <w:vertAlign w:val="superscript"/>
          <w:lang w:val="lv-LV"/>
        </w:rPr>
        <w:t>9</w:t>
      </w:r>
      <w:r w:rsidRPr="004D1F9B">
        <w:rPr>
          <w:lang w:val="lv-LV"/>
        </w:rPr>
        <w:t xml:space="preserve"> Labdien (itāļu val.).</w:t>
      </w:r>
    </w:p>
    <w:p w14:paraId="286CC2FB" w14:textId="77777777" w:rsidR="00492C87" w:rsidRPr="004D1F9B" w:rsidRDefault="00492C87" w:rsidP="00492C87">
      <w:pPr>
        <w:rPr>
          <w:lang w:val="lv-LV"/>
        </w:rPr>
      </w:pPr>
      <w:r w:rsidRPr="005E316C">
        <w:rPr>
          <w:vertAlign w:val="superscript"/>
          <w:lang w:val="lv-LV"/>
        </w:rPr>
        <w:t>10</w:t>
      </w:r>
      <w:r w:rsidRPr="004D1F9B">
        <w:rPr>
          <w:lang w:val="lv-LV"/>
        </w:rPr>
        <w:t xml:space="preserve"> „Lido!”</w:t>
      </w:r>
      <w:r>
        <w:rPr>
          <w:lang w:val="lv-LV"/>
        </w:rPr>
        <w:t xml:space="preserve"> — </w:t>
      </w:r>
      <w:r w:rsidRPr="004D1F9B">
        <w:rPr>
          <w:lang w:val="lv-LV"/>
        </w:rPr>
        <w:t>uzmundrinošs sauklis, ar kuru Rainis un Aspazija kopš 1903./1904. gad</w:t>
      </w:r>
      <w:r w:rsidRPr="00C00E6F">
        <w:rPr>
          <w:lang w:val="lv-LV"/>
        </w:rPr>
        <w:t>a</w:t>
      </w:r>
      <w:r w:rsidRPr="004D1F9B">
        <w:rPr>
          <w:lang w:val="lv-LV"/>
        </w:rPr>
        <w:t xml:space="preserve"> mijas bieži mēdza nobeigt viens otram rakstītās vēstules.</w:t>
      </w:r>
    </w:p>
    <w:p w14:paraId="6F80DF0A" w14:textId="77777777" w:rsidR="00492C87" w:rsidRPr="004D1F9B" w:rsidRDefault="00492C87" w:rsidP="00492C87">
      <w:pPr>
        <w:rPr>
          <w:lang w:val="lv-LV"/>
        </w:rPr>
      </w:pPr>
      <w:r w:rsidRPr="005E316C">
        <w:rPr>
          <w:vertAlign w:val="superscript"/>
          <w:lang w:val="lv-LV"/>
        </w:rPr>
        <w:t>11</w:t>
      </w:r>
      <w:r w:rsidRPr="004D1F9B">
        <w:rPr>
          <w:lang w:val="lv-LV"/>
        </w:rPr>
        <w:t xml:space="preserve"> Dzejnieks te, iespējams, atsaucas uz laikraksta „Dz</w:t>
      </w:r>
      <w:r>
        <w:rPr>
          <w:lang w:val="lv-LV"/>
        </w:rPr>
        <w:t>imtenes Vēstnesis”</w:t>
      </w:r>
      <w:r w:rsidRPr="004D1F9B">
        <w:rPr>
          <w:lang w:val="lv-LV"/>
        </w:rPr>
        <w:t xml:space="preserve"> 1911. gada</w:t>
      </w:r>
      <w:r>
        <w:rPr>
          <w:lang w:val="lv-LV"/>
        </w:rPr>
        <w:t xml:space="preserve"> 28. </w:t>
      </w:r>
      <w:r w:rsidRPr="004D1F9B">
        <w:rPr>
          <w:lang w:val="lv-LV"/>
        </w:rPr>
        <w:t xml:space="preserve">septembra (11. oktobra), t.i., 223., numurā, publicēto sludinājumu. Tajā norādīts uz </w:t>
      </w:r>
      <w:r>
        <w:rPr>
          <w:lang w:val="lv-LV"/>
        </w:rPr>
        <w:t>A. </w:t>
      </w:r>
      <w:r w:rsidRPr="004D1F9B">
        <w:rPr>
          <w:lang w:val="lv-LV"/>
        </w:rPr>
        <w:t>Gulbja izdotās „Universālās Bibliotēkas” tipoloģisko radniecību ar tās priekšteci</w:t>
      </w:r>
      <w:r>
        <w:rPr>
          <w:lang w:val="lv-LV"/>
        </w:rPr>
        <w:t xml:space="preserve"> — </w:t>
      </w:r>
      <w:r w:rsidRPr="004D1F9B">
        <w:rPr>
          <w:lang w:val="lv-LV"/>
        </w:rPr>
        <w:lastRenderedPageBreak/>
        <w:t>Filipa Reklāma (</w:t>
      </w:r>
      <w:r w:rsidRPr="004D1F9B">
        <w:rPr>
          <w:i/>
          <w:lang w:val="lv-LV"/>
        </w:rPr>
        <w:t>Philipp Reclam</w:t>
      </w:r>
      <w:r w:rsidRPr="004D1F9B">
        <w:rPr>
          <w:lang w:val="lv-LV"/>
        </w:rPr>
        <w:t>) firmas 1867. gadā Leipcigā aizsākto, uz plašu sabiedrības slāņu izglītošanu orientēto klasikas izdevumu sēriju ar tādu pašu nosaukumu. Sludinājumā uzsvērts, ka arī latviešu „Universālā Bibliotēka</w:t>
      </w:r>
      <w:r>
        <w:rPr>
          <w:lang w:val="lv-LV"/>
        </w:rPr>
        <w:t>”</w:t>
      </w:r>
      <w:r w:rsidRPr="004D1F9B">
        <w:rPr>
          <w:lang w:val="lv-LV"/>
        </w:rPr>
        <w:t xml:space="preserve"> dos „pēc iespējas par lētu naudu to vislabāko”, un uzskaitīti sērijas pirmajās grāmatās iekļautie darbi.</w:t>
      </w:r>
    </w:p>
    <w:p w14:paraId="3DF963E4" w14:textId="77777777" w:rsidR="00492C87" w:rsidRDefault="00492C87" w:rsidP="00492C87">
      <w:pPr>
        <w:rPr>
          <w:lang w:val="lv-LV"/>
        </w:rPr>
      </w:pPr>
      <w:r w:rsidRPr="005E316C">
        <w:rPr>
          <w:vertAlign w:val="superscript"/>
          <w:lang w:val="lv-LV"/>
        </w:rPr>
        <w:t>12</w:t>
      </w:r>
      <w:r w:rsidRPr="004D1F9B">
        <w:rPr>
          <w:lang w:val="lv-LV"/>
        </w:rPr>
        <w:t xml:space="preserve"> Pusaudzis, villas </w:t>
      </w:r>
      <w:r w:rsidRPr="004D1F9B">
        <w:rPr>
          <w:i/>
          <w:lang w:val="lv-LV"/>
        </w:rPr>
        <w:t>Stella d’Oro</w:t>
      </w:r>
      <w:r w:rsidRPr="004D1F9B">
        <w:rPr>
          <w:lang w:val="lv-LV"/>
        </w:rPr>
        <w:t xml:space="preserve"> saimnieku radinieks (domājams, viesstrādnieks Londonā), kurš tobrīd ciemojās Kastaņolā.</w:t>
      </w:r>
    </w:p>
    <w:p w14:paraId="2379F2FA" w14:textId="77777777" w:rsidR="00492C87" w:rsidRPr="004D1F9B" w:rsidRDefault="00492C87" w:rsidP="00492C87">
      <w:pPr>
        <w:rPr>
          <w:lang w:val="lv-LV"/>
        </w:rPr>
      </w:pPr>
      <w:r w:rsidRPr="005E316C">
        <w:rPr>
          <w:vertAlign w:val="superscript"/>
          <w:lang w:val="lv-LV"/>
        </w:rPr>
        <w:t>13</w:t>
      </w:r>
      <w:r w:rsidRPr="004D1F9B">
        <w:rPr>
          <w:lang w:val="lv-LV"/>
        </w:rPr>
        <w:t xml:space="preserve"> T.i., jāstrādā (no itāļu </w:t>
      </w:r>
      <w:r w:rsidRPr="004D1F9B">
        <w:rPr>
          <w:i/>
          <w:lang w:val="lv-LV"/>
        </w:rPr>
        <w:t>lavorare</w:t>
      </w:r>
      <w:r>
        <w:rPr>
          <w:i/>
          <w:lang w:val="lv-LV"/>
        </w:rPr>
        <w:t xml:space="preserve"> — </w:t>
      </w:r>
      <w:r w:rsidRPr="004D1F9B">
        <w:rPr>
          <w:lang w:val="lv-LV"/>
        </w:rPr>
        <w:t>strādāt).</w:t>
      </w:r>
    </w:p>
    <w:p w14:paraId="186B2FCC" w14:textId="77777777" w:rsidR="00492C87" w:rsidRPr="004D1F9B" w:rsidRDefault="00492C87" w:rsidP="00492C87">
      <w:pPr>
        <w:rPr>
          <w:lang w:val="lv-LV"/>
        </w:rPr>
      </w:pPr>
      <w:r w:rsidRPr="005E316C">
        <w:rPr>
          <w:vertAlign w:val="superscript"/>
          <w:lang w:val="lv-LV"/>
        </w:rPr>
        <w:t>14</w:t>
      </w:r>
      <w:r w:rsidRPr="004D1F9B">
        <w:rPr>
          <w:lang w:val="lv-LV"/>
        </w:rPr>
        <w:t xml:space="preserve"> A</w:t>
      </w:r>
      <w:r>
        <w:rPr>
          <w:lang w:val="lv-LV"/>
        </w:rPr>
        <w:t>sunta</w:t>
      </w:r>
      <w:r w:rsidRPr="004D1F9B">
        <w:rPr>
          <w:lang w:val="lv-LV"/>
        </w:rPr>
        <w:t xml:space="preserve"> Bertoljo.</w:t>
      </w:r>
    </w:p>
    <w:p w14:paraId="631569D1" w14:textId="77777777" w:rsidR="00492C87" w:rsidRPr="004D1F9B" w:rsidRDefault="00492C87" w:rsidP="00492C87">
      <w:pPr>
        <w:rPr>
          <w:lang w:val="lv-LV"/>
        </w:rPr>
      </w:pPr>
      <w:r w:rsidRPr="005E316C">
        <w:rPr>
          <w:vertAlign w:val="superscript"/>
          <w:lang w:val="lv-LV"/>
        </w:rPr>
        <w:t>15</w:t>
      </w:r>
      <w:r w:rsidRPr="004D1F9B">
        <w:rPr>
          <w:lang w:val="lv-LV"/>
        </w:rPr>
        <w:t xml:space="preserve"> </w:t>
      </w:r>
      <w:r w:rsidRPr="004D1F9B">
        <w:rPr>
          <w:i/>
          <w:lang w:val="lv-LV"/>
        </w:rPr>
        <w:t>Gallarate</w:t>
      </w:r>
      <w:r>
        <w:rPr>
          <w:i/>
          <w:lang w:val="lv-LV"/>
        </w:rPr>
        <w:t xml:space="preserve"> — </w:t>
      </w:r>
      <w:r w:rsidRPr="004D1F9B">
        <w:rPr>
          <w:lang w:val="lv-LV"/>
        </w:rPr>
        <w:t>neliela pilsētiņa Ziemeļitālijā, Lombardijas reģiona Varezes (</w:t>
      </w:r>
      <w:r w:rsidRPr="005E316C">
        <w:rPr>
          <w:i/>
          <w:lang w:val="lv-LV"/>
        </w:rPr>
        <w:t>V</w:t>
      </w:r>
      <w:r w:rsidRPr="004D1F9B">
        <w:rPr>
          <w:i/>
          <w:lang w:val="lv-LV"/>
        </w:rPr>
        <w:t>arese</w:t>
      </w:r>
      <w:r w:rsidRPr="004D1F9B">
        <w:rPr>
          <w:lang w:val="lv-LV"/>
        </w:rPr>
        <w:t>) provincē. Iespējams, tā bija Džuzepes un Asuntas Bertoljo dzimtā vieta, kur joprojām dzīvoja viņu radinieki.</w:t>
      </w:r>
    </w:p>
    <w:p w14:paraId="067DAE15" w14:textId="68462E90" w:rsidR="00D71430" w:rsidRPr="00492C87" w:rsidRDefault="00D71430" w:rsidP="00492C87"/>
    <w:sectPr w:rsidR="00D71430" w:rsidRPr="00492C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3A903" w14:textId="77777777" w:rsidR="00FD19A6" w:rsidRDefault="00FD19A6" w:rsidP="00CC0FA4">
      <w:r>
        <w:separator/>
      </w:r>
    </w:p>
  </w:endnote>
  <w:endnote w:type="continuationSeparator" w:id="0">
    <w:p w14:paraId="1544267A" w14:textId="77777777" w:rsidR="00FD19A6" w:rsidRDefault="00FD19A6"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908A6" w14:textId="77777777" w:rsidR="00FD19A6" w:rsidRDefault="00FD19A6" w:rsidP="00CC0FA4">
      <w:r>
        <w:separator/>
      </w:r>
    </w:p>
  </w:footnote>
  <w:footnote w:type="continuationSeparator" w:id="0">
    <w:p w14:paraId="36914EE9" w14:textId="77777777" w:rsidR="00FD19A6" w:rsidRDefault="00FD19A6"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9A6"/>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2255</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2020-10-04T10:10:00Z</dcterms:created>
  <dcterms:modified xsi:type="dcterms:W3CDTF">2020-10-04T10:10:00Z</dcterms:modified>
</cp:coreProperties>
</file>